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71" w:rsidRPr="00792FEE" w:rsidRDefault="00CF4671" w:rsidP="00792FEE">
      <w:pPr>
        <w:jc w:val="center"/>
        <w:rPr>
          <w:b/>
          <w:u w:val="single"/>
        </w:rPr>
      </w:pPr>
      <w:r w:rsidRPr="00792FEE">
        <w:rPr>
          <w:b/>
          <w:u w:val="single"/>
        </w:rPr>
        <w:t>LANDLORD STRATEGIES RESOURCES</w:t>
      </w:r>
      <w:r w:rsidR="00792FEE">
        <w:rPr>
          <w:b/>
          <w:u w:val="single"/>
        </w:rPr>
        <w:t xml:space="preserve"> for Alameda Co.</w:t>
      </w:r>
      <w:bookmarkStart w:id="0" w:name="_GoBack"/>
      <w:bookmarkEnd w:id="0"/>
    </w:p>
    <w:p w:rsidR="00661846" w:rsidRDefault="00661846"/>
    <w:p w:rsidR="00661846" w:rsidRDefault="00661846">
      <w:r>
        <w:t>Things to consider:</w:t>
      </w:r>
    </w:p>
    <w:p w:rsidR="00661846" w:rsidRPr="00792FEE" w:rsidRDefault="00661846" w:rsidP="00661846">
      <w:pPr>
        <w:pStyle w:val="ListParagraph"/>
        <w:numPr>
          <w:ilvl w:val="0"/>
          <w:numId w:val="2"/>
        </w:numPr>
        <w:rPr>
          <w:b/>
        </w:rPr>
      </w:pPr>
      <w:r w:rsidRPr="00792FEE">
        <w:rPr>
          <w:b/>
        </w:rPr>
        <w:t xml:space="preserve"> Are you going to develop a pot of $$ that can be used as incentives for landlords?</w:t>
      </w:r>
    </w:p>
    <w:p w:rsidR="00661846" w:rsidRDefault="00661846" w:rsidP="00661846">
      <w:pPr>
        <w:pStyle w:val="ListParagraph"/>
        <w:numPr>
          <w:ilvl w:val="1"/>
          <w:numId w:val="2"/>
        </w:numPr>
      </w:pPr>
      <w:r>
        <w:t>Various kinds of incentive programs exist</w:t>
      </w:r>
    </w:p>
    <w:p w:rsidR="00661846" w:rsidRDefault="00661846" w:rsidP="00661846">
      <w:pPr>
        <w:pStyle w:val="ListParagraph"/>
        <w:numPr>
          <w:ilvl w:val="2"/>
          <w:numId w:val="2"/>
        </w:numPr>
      </w:pPr>
      <w:r>
        <w:t>Risk mitigation funds</w:t>
      </w:r>
    </w:p>
    <w:p w:rsidR="00661846" w:rsidRDefault="00661846" w:rsidP="00661846">
      <w:pPr>
        <w:pStyle w:val="ListParagraph"/>
        <w:numPr>
          <w:ilvl w:val="2"/>
          <w:numId w:val="2"/>
        </w:numPr>
      </w:pPr>
      <w:r>
        <w:t>Pots for extensive security deposits</w:t>
      </w:r>
    </w:p>
    <w:p w:rsidR="00792FEE" w:rsidRDefault="00661846" w:rsidP="00792FEE">
      <w:pPr>
        <w:pStyle w:val="ListParagraph"/>
        <w:numPr>
          <w:ilvl w:val="2"/>
          <w:numId w:val="2"/>
        </w:numPr>
      </w:pPr>
      <w:r>
        <w:t>“sign on” bonuses for landlords</w:t>
      </w:r>
    </w:p>
    <w:p w:rsidR="00792FEE" w:rsidRDefault="00792FEE" w:rsidP="00792FEE">
      <w:pPr>
        <w:pStyle w:val="ListParagraph"/>
        <w:numPr>
          <w:ilvl w:val="1"/>
          <w:numId w:val="2"/>
        </w:numPr>
      </w:pPr>
      <w:r>
        <w:t>Who is going to partner with you on this?</w:t>
      </w:r>
    </w:p>
    <w:p w:rsidR="00792FEE" w:rsidRDefault="00792FEE" w:rsidP="00792FEE">
      <w:pPr>
        <w:pStyle w:val="ListParagraph"/>
        <w:numPr>
          <w:ilvl w:val="2"/>
          <w:numId w:val="2"/>
        </w:numPr>
      </w:pPr>
      <w:r>
        <w:t>Mayor</w:t>
      </w:r>
    </w:p>
    <w:p w:rsidR="00792FEE" w:rsidRDefault="00792FEE" w:rsidP="00792FEE">
      <w:pPr>
        <w:pStyle w:val="ListParagraph"/>
        <w:numPr>
          <w:ilvl w:val="2"/>
          <w:numId w:val="2"/>
        </w:numPr>
      </w:pPr>
      <w:r>
        <w:t>City council/county supervisors</w:t>
      </w:r>
    </w:p>
    <w:p w:rsidR="00792FEE" w:rsidRDefault="00792FEE" w:rsidP="00792FEE">
      <w:pPr>
        <w:pStyle w:val="ListParagraph"/>
        <w:numPr>
          <w:ilvl w:val="2"/>
          <w:numId w:val="2"/>
        </w:numPr>
      </w:pPr>
      <w:r>
        <w:t>Public housing authorities</w:t>
      </w:r>
    </w:p>
    <w:p w:rsidR="00792FEE" w:rsidRDefault="00792FEE" w:rsidP="00792FEE">
      <w:pPr>
        <w:pStyle w:val="ListParagraph"/>
        <w:numPr>
          <w:ilvl w:val="2"/>
          <w:numId w:val="2"/>
        </w:numPr>
      </w:pPr>
      <w:r>
        <w:t>Community charities such as Kiwanis/Rotary</w:t>
      </w:r>
    </w:p>
    <w:p w:rsidR="00792FEE" w:rsidRDefault="00792FEE" w:rsidP="00792FEE">
      <w:pPr>
        <w:pStyle w:val="ListParagraph"/>
        <w:numPr>
          <w:ilvl w:val="2"/>
          <w:numId w:val="2"/>
        </w:numPr>
      </w:pPr>
      <w:r>
        <w:t>United Way</w:t>
      </w:r>
    </w:p>
    <w:p w:rsidR="00792FEE" w:rsidRDefault="00792FEE" w:rsidP="00792FEE">
      <w:pPr>
        <w:pStyle w:val="ListParagraph"/>
        <w:numPr>
          <w:ilvl w:val="2"/>
          <w:numId w:val="2"/>
        </w:numPr>
      </w:pPr>
      <w:r>
        <w:t>Community Foundation</w:t>
      </w:r>
    </w:p>
    <w:p w:rsidR="00792FEE" w:rsidRDefault="00792FEE" w:rsidP="00792FEE">
      <w:pPr>
        <w:pStyle w:val="ListParagraph"/>
        <w:numPr>
          <w:ilvl w:val="2"/>
          <w:numId w:val="2"/>
        </w:numPr>
      </w:pPr>
      <w:r>
        <w:t>Others?</w:t>
      </w:r>
    </w:p>
    <w:p w:rsidR="00792FEE" w:rsidRPr="00792FEE" w:rsidRDefault="00792FEE" w:rsidP="00792FEE">
      <w:pPr>
        <w:pStyle w:val="ListParagraph"/>
        <w:ind w:left="1440"/>
        <w:rPr>
          <w:b/>
        </w:rPr>
      </w:pPr>
    </w:p>
    <w:p w:rsidR="00661846" w:rsidRPr="00792FEE" w:rsidRDefault="00661846" w:rsidP="00661846">
      <w:pPr>
        <w:pStyle w:val="ListParagraph"/>
        <w:numPr>
          <w:ilvl w:val="0"/>
          <w:numId w:val="2"/>
        </w:numPr>
        <w:rPr>
          <w:b/>
        </w:rPr>
      </w:pPr>
      <w:r w:rsidRPr="00792FEE">
        <w:rPr>
          <w:b/>
        </w:rPr>
        <w:t>Are you going to work to attract new landlords with a massive outreach effort?</w:t>
      </w:r>
    </w:p>
    <w:p w:rsidR="00661846" w:rsidRDefault="00661846" w:rsidP="00661846">
      <w:pPr>
        <w:pStyle w:val="ListParagraph"/>
        <w:numPr>
          <w:ilvl w:val="1"/>
          <w:numId w:val="2"/>
        </w:numPr>
      </w:pPr>
      <w:r>
        <w:t>Is it all PR?  What will make the LL want to sign on?</w:t>
      </w:r>
    </w:p>
    <w:p w:rsidR="00661846" w:rsidRDefault="00661846" w:rsidP="00661846">
      <w:pPr>
        <w:pStyle w:val="ListParagraph"/>
        <w:numPr>
          <w:ilvl w:val="1"/>
          <w:numId w:val="2"/>
        </w:numPr>
      </w:pPr>
      <w:r>
        <w:t>In being able to attract LL’s a community has to be sure that they can live up to the “claims” they make to LL about stability of clients; responsiveness of case management programs/supportive services; this requires some work to get to agreement on “standards”</w:t>
      </w:r>
    </w:p>
    <w:p w:rsidR="00661846" w:rsidRDefault="00661846" w:rsidP="00661846">
      <w:pPr>
        <w:pStyle w:val="ListParagraph"/>
        <w:numPr>
          <w:ilvl w:val="1"/>
          <w:numId w:val="2"/>
        </w:numPr>
      </w:pPr>
      <w:r>
        <w:t xml:space="preserve">Who will manage the units that are brought forward?  </w:t>
      </w:r>
    </w:p>
    <w:p w:rsidR="00661846" w:rsidRDefault="00661846" w:rsidP="00661846">
      <w:pPr>
        <w:pStyle w:val="ListParagraph"/>
        <w:numPr>
          <w:ilvl w:val="1"/>
          <w:numId w:val="2"/>
        </w:numPr>
      </w:pPr>
      <w:r>
        <w:t>Who will attend to the Landlords?</w:t>
      </w:r>
    </w:p>
    <w:p w:rsidR="00661846" w:rsidRDefault="00661846" w:rsidP="00661846">
      <w:pPr>
        <w:pStyle w:val="ListParagraph"/>
        <w:numPr>
          <w:ilvl w:val="2"/>
          <w:numId w:val="2"/>
        </w:numPr>
      </w:pPr>
      <w:r>
        <w:t>Quick response to offers</w:t>
      </w:r>
    </w:p>
    <w:p w:rsidR="00661846" w:rsidRDefault="00661846" w:rsidP="00661846">
      <w:pPr>
        <w:pStyle w:val="ListParagraph"/>
        <w:numPr>
          <w:ilvl w:val="2"/>
          <w:numId w:val="2"/>
        </w:numPr>
      </w:pPr>
      <w:r>
        <w:t>“care and feeding” of LL’s</w:t>
      </w:r>
    </w:p>
    <w:p w:rsidR="00661846" w:rsidRDefault="00661846" w:rsidP="00661846">
      <w:pPr>
        <w:pStyle w:val="ListParagraph"/>
        <w:numPr>
          <w:ilvl w:val="2"/>
          <w:numId w:val="2"/>
        </w:numPr>
      </w:pPr>
      <w:r>
        <w:t>Responses to problems with tenants</w:t>
      </w:r>
    </w:p>
    <w:p w:rsidR="00792FEE" w:rsidRDefault="00792FEE" w:rsidP="00792FEE">
      <w:pPr>
        <w:pStyle w:val="ListParagraph"/>
        <w:ind w:left="2160"/>
      </w:pPr>
    </w:p>
    <w:p w:rsidR="00661846" w:rsidRPr="00792FEE" w:rsidRDefault="00661846" w:rsidP="00661846">
      <w:pPr>
        <w:pStyle w:val="ListParagraph"/>
        <w:numPr>
          <w:ilvl w:val="0"/>
          <w:numId w:val="2"/>
        </w:numPr>
        <w:rPr>
          <w:b/>
        </w:rPr>
      </w:pPr>
      <w:r w:rsidRPr="00792FEE">
        <w:rPr>
          <w:b/>
        </w:rPr>
        <w:t xml:space="preserve"> Other kinds of programs include:</w:t>
      </w:r>
    </w:p>
    <w:p w:rsidR="00661846" w:rsidRDefault="00661846" w:rsidP="00661846">
      <w:pPr>
        <w:pStyle w:val="ListParagraph"/>
        <w:numPr>
          <w:ilvl w:val="1"/>
          <w:numId w:val="2"/>
        </w:numPr>
      </w:pPr>
      <w:r>
        <w:t>Property damage “repair teams”</w:t>
      </w:r>
    </w:p>
    <w:p w:rsidR="00661846" w:rsidRDefault="00661846" w:rsidP="00661846">
      <w:pPr>
        <w:pStyle w:val="ListParagraph"/>
        <w:numPr>
          <w:ilvl w:val="1"/>
          <w:numId w:val="2"/>
        </w:numPr>
      </w:pPr>
      <w:r>
        <w:t>Awards/certificates/publicity for cooperative LL’s</w:t>
      </w:r>
    </w:p>
    <w:p w:rsidR="00661846" w:rsidRDefault="00661846" w:rsidP="00661846">
      <w:pPr>
        <w:pStyle w:val="ListParagraph"/>
        <w:numPr>
          <w:ilvl w:val="1"/>
          <w:numId w:val="2"/>
        </w:numPr>
      </w:pPr>
      <w:r>
        <w:t xml:space="preserve">Public recognition for </w:t>
      </w:r>
      <w:proofErr w:type="gramStart"/>
      <w:r>
        <w:t>LL’s  by</w:t>
      </w:r>
      <w:proofErr w:type="gramEnd"/>
      <w:r>
        <w:t xml:space="preserve"> politicians, etc.</w:t>
      </w:r>
    </w:p>
    <w:p w:rsidR="00792FEE" w:rsidRDefault="00792FEE" w:rsidP="00792FEE">
      <w:pPr>
        <w:pStyle w:val="ListParagraph"/>
        <w:ind w:left="1440"/>
      </w:pPr>
    </w:p>
    <w:p w:rsidR="00792FEE" w:rsidRDefault="00792FEE" w:rsidP="00792FEE">
      <w:pPr>
        <w:pStyle w:val="ListParagraph"/>
        <w:numPr>
          <w:ilvl w:val="0"/>
          <w:numId w:val="2"/>
        </w:numPr>
      </w:pPr>
      <w:r w:rsidRPr="00792FEE">
        <w:rPr>
          <w:b/>
        </w:rPr>
        <w:t xml:space="preserve">Simultaneous to doing the LL outreach, community agency </w:t>
      </w:r>
      <w:proofErr w:type="gramStart"/>
      <w:r w:rsidRPr="00792FEE">
        <w:rPr>
          <w:b/>
        </w:rPr>
        <w:t>staff need</w:t>
      </w:r>
      <w:proofErr w:type="gramEnd"/>
      <w:r w:rsidRPr="00792FEE">
        <w:rPr>
          <w:b/>
        </w:rPr>
        <w:t xml:space="preserve"> training on care and feeding of LL’s; what the program is going to do; what their responsibilities are; etc</w:t>
      </w:r>
      <w:r>
        <w:t>.</w:t>
      </w:r>
    </w:p>
    <w:p w:rsidR="00792FEE" w:rsidRDefault="00792FEE" w:rsidP="00792FEE">
      <w:pPr>
        <w:pStyle w:val="ListParagraph"/>
      </w:pPr>
    </w:p>
    <w:p w:rsidR="00792FEE" w:rsidRPr="00792FEE" w:rsidRDefault="00792FEE" w:rsidP="00792FEE">
      <w:pPr>
        <w:pStyle w:val="ListParagraph"/>
        <w:numPr>
          <w:ilvl w:val="0"/>
          <w:numId w:val="2"/>
        </w:numPr>
        <w:rPr>
          <w:b/>
        </w:rPr>
      </w:pPr>
      <w:r w:rsidRPr="00792FEE">
        <w:rPr>
          <w:b/>
        </w:rPr>
        <w:t>There are many other kinds of resources out there to share with staff through training</w:t>
      </w:r>
    </w:p>
    <w:p w:rsidR="00792FEE" w:rsidRDefault="00792FEE" w:rsidP="00792FEE">
      <w:pPr>
        <w:pStyle w:val="ListParagraph"/>
        <w:numPr>
          <w:ilvl w:val="1"/>
          <w:numId w:val="2"/>
        </w:numPr>
      </w:pPr>
      <w:r>
        <w:t>Shared housing agreements</w:t>
      </w:r>
    </w:p>
    <w:p w:rsidR="00792FEE" w:rsidRDefault="00792FEE" w:rsidP="00792FEE">
      <w:pPr>
        <w:pStyle w:val="ListParagraph"/>
        <w:numPr>
          <w:ilvl w:val="1"/>
          <w:numId w:val="2"/>
        </w:numPr>
      </w:pPr>
      <w:r>
        <w:t>Home visit check lists</w:t>
      </w:r>
    </w:p>
    <w:p w:rsidR="00792FEE" w:rsidRDefault="00792FEE" w:rsidP="00792FEE">
      <w:pPr>
        <w:pStyle w:val="ListParagraph"/>
        <w:numPr>
          <w:ilvl w:val="1"/>
          <w:numId w:val="2"/>
        </w:numPr>
      </w:pPr>
      <w:r>
        <w:lastRenderedPageBreak/>
        <w:t>Tenant agreements</w:t>
      </w:r>
    </w:p>
    <w:p w:rsidR="00792FEE" w:rsidRDefault="00792FEE" w:rsidP="00792FEE">
      <w:pPr>
        <w:pStyle w:val="ListParagraph"/>
        <w:numPr>
          <w:ilvl w:val="1"/>
          <w:numId w:val="2"/>
        </w:numPr>
      </w:pPr>
      <w:r>
        <w:t>Etc.</w:t>
      </w:r>
    </w:p>
    <w:p w:rsidR="00792FEE" w:rsidRDefault="00792FEE"/>
    <w:p w:rsidR="00792FEE" w:rsidRPr="00792FEE" w:rsidRDefault="00792FEE" w:rsidP="00792FEE">
      <w:pPr>
        <w:jc w:val="center"/>
        <w:rPr>
          <w:b/>
          <w:u w:val="single"/>
        </w:rPr>
      </w:pPr>
      <w:r w:rsidRPr="00792FEE">
        <w:rPr>
          <w:b/>
          <w:u w:val="single"/>
        </w:rPr>
        <w:t>SAMPLES OF RESOURCES AVAILABLE</w:t>
      </w:r>
    </w:p>
    <w:p w:rsidR="00F31F1F" w:rsidRDefault="00CF4671">
      <w:r>
        <w:t xml:space="preserve">NAEH:   </w:t>
      </w:r>
      <w:hyperlink r:id="rId6" w:history="1">
        <w:r w:rsidR="002F7A6E" w:rsidRPr="00F437B8">
          <w:rPr>
            <w:rStyle w:val="Hyperlink"/>
          </w:rPr>
          <w:t>http://www.endhomelessness.org/library/entry/landlord-outreach-strategies</w:t>
        </w:r>
      </w:hyperlink>
    </w:p>
    <w:p w:rsidR="002F7A6E" w:rsidRDefault="002F7A6E">
      <w:r>
        <w:t>NAEH:  Landlord Damage Fund Example</w:t>
      </w:r>
      <w:r w:rsidR="00792FEE">
        <w:t xml:space="preserve"> (Norfolk, VA)</w:t>
      </w:r>
      <w:r>
        <w:t xml:space="preserve">:  </w:t>
      </w:r>
      <w:hyperlink r:id="rId7" w:history="1">
        <w:r w:rsidRPr="00F437B8">
          <w:rPr>
            <w:rStyle w:val="Hyperlink"/>
          </w:rPr>
          <w:t>http://www.endhomelessness.org/library/entry/example-landlord-damage-insurance-fund-mou-from-the-plann</w:t>
        </w:r>
        <w:r w:rsidRPr="00F437B8">
          <w:rPr>
            <w:rStyle w:val="Hyperlink"/>
          </w:rPr>
          <w:t>i</w:t>
        </w:r>
        <w:r w:rsidRPr="00F437B8">
          <w:rPr>
            <w:rStyle w:val="Hyperlink"/>
          </w:rPr>
          <w:t>ng-council</w:t>
        </w:r>
      </w:hyperlink>
    </w:p>
    <w:p w:rsidR="002F7A6E" w:rsidRDefault="002F7A6E">
      <w:r>
        <w:t xml:space="preserve">ATLANTA PRESENTATION:  </w:t>
      </w:r>
      <w:hyperlink r:id="rId8" w:history="1">
        <w:r w:rsidR="006765E5" w:rsidRPr="00F437B8">
          <w:rPr>
            <w:rStyle w:val="Hyperlink"/>
          </w:rPr>
          <w:t>http://www.endhomelessness.org/page/-/files/3.1%20Strategies%20for%20Building%20Landlord%20Partnerships%20-%20Khari%20Hunt.pdf</w:t>
        </w:r>
      </w:hyperlink>
    </w:p>
    <w:p w:rsidR="006765E5" w:rsidRDefault="00A73A7D">
      <w:pPr>
        <w:rPr>
          <w:rFonts w:ascii="Arial" w:hAnsi="Arial" w:cs="Arial"/>
          <w:color w:val="333333"/>
          <w:sz w:val="20"/>
          <w:szCs w:val="20"/>
        </w:rPr>
      </w:pPr>
      <w:r>
        <w:t xml:space="preserve">NYC LANDLORD INCENTIVE PROG:  </w:t>
      </w:r>
      <w:hyperlink r:id="rId9" w:history="1">
        <w:r w:rsidR="00FD6A2D" w:rsidRPr="00F437B8">
          <w:rPr>
            <w:rStyle w:val="Hyperlink"/>
            <w:rFonts w:ascii="Arial" w:hAnsi="Arial" w:cs="Arial"/>
            <w:sz w:val="20"/>
            <w:szCs w:val="20"/>
          </w:rPr>
          <w:t>www.endhomelessness.org/.../1253_file_Barbara_Rosenberg.ppt</w:t>
        </w:r>
      </w:hyperlink>
    </w:p>
    <w:p w:rsidR="00FD6A2D" w:rsidRDefault="00FD6A2D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SEATTLE PROGRAM:  </w:t>
      </w:r>
      <w:hyperlink r:id="rId10" w:history="1">
        <w:r w:rsidRPr="00F437B8">
          <w:rPr>
            <w:rStyle w:val="Hyperlink"/>
            <w:rFonts w:ascii="Arial" w:hAnsi="Arial" w:cs="Arial"/>
            <w:sz w:val="20"/>
            <w:szCs w:val="20"/>
          </w:rPr>
          <w:t>http://www.landlordliaisonproject.org/index.html</w:t>
        </w:r>
      </w:hyperlink>
    </w:p>
    <w:p w:rsidR="00792FEE" w:rsidRPr="00792FEE" w:rsidRDefault="00792FEE" w:rsidP="00792FEE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This is the very first and most extensive program…many of their materials are available on line and they are willing to share</w:t>
      </w:r>
    </w:p>
    <w:p w:rsidR="00FD6A2D" w:rsidRDefault="009E2D9E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DENVER VOA PROGRAM:  </w:t>
      </w:r>
      <w:hyperlink r:id="rId11" w:history="1">
        <w:r w:rsidRPr="00F437B8">
          <w:rPr>
            <w:rStyle w:val="Hyperlink"/>
            <w:rFonts w:ascii="Arial" w:hAnsi="Arial" w:cs="Arial"/>
            <w:sz w:val="20"/>
            <w:szCs w:val="20"/>
          </w:rPr>
          <w:t>http://www.voacolorado.org/gethelp-denvermetro-veterans-landlords</w:t>
        </w:r>
      </w:hyperlink>
      <w:r w:rsidR="00723DDE">
        <w:rPr>
          <w:rFonts w:ascii="Arial" w:hAnsi="Arial" w:cs="Arial"/>
          <w:color w:val="333333"/>
          <w:sz w:val="20"/>
          <w:szCs w:val="20"/>
        </w:rPr>
        <w:t xml:space="preserve"> (see appendix)</w:t>
      </w:r>
    </w:p>
    <w:p w:rsidR="009E2D9E" w:rsidRDefault="009E2D9E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HOUSTON PROGRAM:  </w:t>
      </w:r>
      <w:hyperlink r:id="rId12" w:history="1">
        <w:r w:rsidR="00A21118" w:rsidRPr="00F437B8">
          <w:rPr>
            <w:rStyle w:val="Hyperlink"/>
            <w:rFonts w:ascii="Arial" w:hAnsi="Arial" w:cs="Arial"/>
            <w:sz w:val="20"/>
            <w:szCs w:val="20"/>
          </w:rPr>
          <w:t>htt</w:t>
        </w:r>
        <w:r w:rsidR="00A21118" w:rsidRPr="00F437B8">
          <w:rPr>
            <w:rStyle w:val="Hyperlink"/>
            <w:rFonts w:ascii="Arial" w:hAnsi="Arial" w:cs="Arial"/>
            <w:sz w:val="20"/>
            <w:szCs w:val="20"/>
          </w:rPr>
          <w:t>p</w:t>
        </w:r>
        <w:r w:rsidR="00A21118" w:rsidRPr="00F437B8">
          <w:rPr>
            <w:rStyle w:val="Hyperlink"/>
            <w:rFonts w:ascii="Arial" w:hAnsi="Arial" w:cs="Arial"/>
            <w:sz w:val="20"/>
            <w:szCs w:val="20"/>
          </w:rPr>
          <w:t>://www.homelesshouston.org/wp-content/uploads/2013/12/Housing-Houstons-Heroes-Workgroup-Info-Sheet1.pdf</w:t>
        </w:r>
      </w:hyperlink>
    </w:p>
    <w:p w:rsidR="00A21118" w:rsidRDefault="00A21118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AUSTIN PROGRAM:  </w:t>
      </w:r>
      <w:hyperlink r:id="rId13" w:history="1">
        <w:r w:rsidRPr="00F437B8">
          <w:rPr>
            <w:rStyle w:val="Hyperlink"/>
            <w:rFonts w:ascii="Arial" w:hAnsi="Arial" w:cs="Arial"/>
            <w:sz w:val="20"/>
            <w:szCs w:val="20"/>
          </w:rPr>
          <w:t>http://austinecho.org/the-solution/onekeyatx-2/</w:t>
        </w:r>
      </w:hyperlink>
    </w:p>
    <w:p w:rsidR="00A21118" w:rsidRDefault="00A21118" w:rsidP="00A21118">
      <w:pPr>
        <w:pStyle w:val="ListParagraph"/>
        <w:numPr>
          <w:ilvl w:val="0"/>
          <w:numId w:val="1"/>
        </w:numPr>
      </w:pPr>
      <w:r>
        <w:t>Includes an alternative “screening” process</w:t>
      </w:r>
    </w:p>
    <w:p w:rsidR="00723DDE" w:rsidRDefault="004676D6" w:rsidP="00723DDE">
      <w:r>
        <w:t>UNITED WAY LOS ANGELES:  HOME FOR HERO’S PROGRAM….see other attachment</w:t>
      </w:r>
      <w:r w:rsidR="00723DDE">
        <w:br w:type="column"/>
      </w:r>
    </w:p>
    <w:tbl>
      <w:tblPr>
        <w:tblStyle w:val="ListTable3Accent5"/>
        <w:tblpPr w:leftFromText="180" w:rightFromText="180" w:horzAnchor="margin" w:tblpXSpec="center" w:tblpY="285"/>
        <w:tblW w:w="11466" w:type="dxa"/>
        <w:tblLook w:val="04A0" w:firstRow="1" w:lastRow="0" w:firstColumn="1" w:lastColumn="0" w:noHBand="0" w:noVBand="1"/>
      </w:tblPr>
      <w:tblGrid>
        <w:gridCol w:w="1681"/>
        <w:gridCol w:w="9785"/>
      </w:tblGrid>
      <w:tr w:rsidR="00723DDE" w:rsidRPr="00B60399" w:rsidTr="007B0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6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23DDE" w:rsidRPr="00B60399" w:rsidRDefault="00723DDE" w:rsidP="007B0795">
            <w:pPr>
              <w:jc w:val="center"/>
              <w:rPr>
                <w:sz w:val="28"/>
                <w:szCs w:val="28"/>
              </w:rPr>
            </w:pPr>
            <w:r w:rsidRPr="00B60399">
              <w:rPr>
                <w:sz w:val="28"/>
                <w:szCs w:val="28"/>
              </w:rPr>
              <w:t>The Landlord Incentive Program</w:t>
            </w:r>
            <w:r>
              <w:rPr>
                <w:sz w:val="28"/>
                <w:szCs w:val="28"/>
              </w:rPr>
              <w:t xml:space="preserve">  DENVER</w:t>
            </w:r>
          </w:p>
        </w:tc>
      </w:tr>
      <w:tr w:rsidR="00723DDE" w:rsidRPr="00657003" w:rsidTr="007B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723DDE" w:rsidRPr="001B3A4B" w:rsidRDefault="00723DDE" w:rsidP="007B0795">
            <w:r w:rsidRPr="001B3A4B">
              <w:lastRenderedPageBreak/>
              <w:t>Program Overview</w:t>
            </w:r>
            <w:r>
              <w:t xml:space="preserve"> </w:t>
            </w:r>
          </w:p>
        </w:tc>
        <w:tc>
          <w:tcPr>
            <w:tcW w:w="9893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23DDE" w:rsidRPr="00657003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all need a safe place to call home. Yet that basic need is increasingly out of reach for many people.  The Landlord Incentive Program recognizes the investment of </w:t>
            </w:r>
            <w:r w:rsidRPr="001B3A4B">
              <w:t>landlords</w:t>
            </w:r>
            <w:r>
              <w:t xml:space="preserve"> willing to help individuals who need affordable housing.  The program offers participating landlords</w:t>
            </w:r>
            <w:r w:rsidRPr="001B3A4B">
              <w:t xml:space="preserve"> </w:t>
            </w:r>
            <w:r>
              <w:t>reimbursement for</w:t>
            </w:r>
            <w:r w:rsidRPr="001B3A4B">
              <w:t xml:space="preserve"> </w:t>
            </w:r>
            <w:r>
              <w:t>short-term vacancies and minor unit repairs when they rent their home or apartment to a low-income renter with a housing voucher. The effort helps preserve the investment of a participating landlord while ensuring safe, affordable housing for someone in need.</w:t>
            </w:r>
            <w:r>
              <w:br/>
            </w:r>
          </w:p>
        </w:tc>
      </w:tr>
      <w:tr w:rsidR="00723DDE" w:rsidRPr="00657003" w:rsidTr="007B0795">
        <w:trPr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723DDE" w:rsidRPr="001B3A4B" w:rsidRDefault="00723DDE" w:rsidP="007B0795">
            <w:r w:rsidRPr="001B3A4B">
              <w:t xml:space="preserve">Eligibility Requirements </w:t>
            </w:r>
          </w:p>
        </w:tc>
        <w:tc>
          <w:tcPr>
            <w:tcW w:w="9893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23DDE" w:rsidRDefault="00723DDE" w:rsidP="007B0795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be eligible to submit a reimbursement claim for repairs or to seek reimbursement for a vacancy, a landlord</w:t>
            </w:r>
            <w:r w:rsidRPr="001B3A4B">
              <w:t xml:space="preserve"> must</w:t>
            </w:r>
            <w:r>
              <w:t xml:space="preserve"> be participating in the Landlord Recruitment Campaign, </w:t>
            </w:r>
            <w:r w:rsidRPr="001B3A4B">
              <w:t xml:space="preserve">have leased </w:t>
            </w:r>
            <w:r>
              <w:t xml:space="preserve">the unit to an approved tenant, and continue to allow placement of the tenant in the same unit. ALL reimbursement claims </w:t>
            </w:r>
            <w:r w:rsidRPr="001B3A4B">
              <w:t xml:space="preserve">must </w:t>
            </w:r>
            <w:r>
              <w:t>have occurred after April 1, 2015</w:t>
            </w:r>
            <w:r w:rsidRPr="001B3A4B">
              <w:t xml:space="preserve">. </w:t>
            </w:r>
            <w:r>
              <w:t xml:space="preserve">Claims for damages </w:t>
            </w:r>
            <w:r w:rsidRPr="001B3A4B">
              <w:t xml:space="preserve">must exceed </w:t>
            </w:r>
            <w:r>
              <w:t>“</w:t>
            </w:r>
            <w:r w:rsidRPr="001B3A4B">
              <w:t>normal wear and tear</w:t>
            </w:r>
            <w:r>
              <w:t>”*.</w:t>
            </w:r>
          </w:p>
          <w:p w:rsidR="00723DDE" w:rsidRPr="00657003" w:rsidRDefault="00723DDE" w:rsidP="007B0795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DDE" w:rsidRPr="00657003" w:rsidTr="007B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723DDE" w:rsidRPr="00B60399" w:rsidRDefault="00723DDE" w:rsidP="007B0795">
            <w:r w:rsidRPr="00B60399">
              <w:t xml:space="preserve">Program </w:t>
            </w:r>
            <w:r>
              <w:t xml:space="preserve">Information and </w:t>
            </w:r>
            <w:r w:rsidRPr="00B60399">
              <w:t xml:space="preserve">Reimbursement </w:t>
            </w:r>
            <w:r>
              <w:t xml:space="preserve">Process: </w:t>
            </w:r>
            <w:r>
              <w:br/>
              <w:t>Repairs</w:t>
            </w:r>
          </w:p>
        </w:tc>
        <w:tc>
          <w:tcPr>
            <w:tcW w:w="9893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23DDE" w:rsidRPr="00967589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67589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67589">
              <w:rPr>
                <w:b/>
              </w:rPr>
              <w:t>Property damage claims up to $300 may be available without a preliminary unit inspection, to cover small damages and other minor repairs</w:t>
            </w:r>
            <w:r>
              <w:t>.</w:t>
            </w:r>
          </w:p>
          <w:p w:rsidR="00723DDE" w:rsidRPr="00657003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3DDE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A4B">
              <w:t xml:space="preserve">To </w:t>
            </w:r>
            <w:r>
              <w:t>apply for reimbursement incentives up to $300 through the Landlord Incentive Program</w:t>
            </w:r>
            <w:r w:rsidRPr="001B3A4B">
              <w:t xml:space="preserve">, a landlord must first </w:t>
            </w:r>
            <w:r>
              <w:t>confirm participation in the program with the Colorado Housing Connects Landlord Recruitment Specialist. Upon confirmation of participation, a participating landlord will submit a copy of the HQS move-in inspection and satisfactory descriptions and documentation, including pictures, of the damage claim to the Landlord Recruitment Specialist. Properly submitted claims will be reviewed within 2 business days from receipt of claim</w:t>
            </w:r>
            <w:r w:rsidRPr="001B3A4B">
              <w:t>.</w:t>
            </w:r>
          </w:p>
          <w:p w:rsidR="00723DDE" w:rsidRPr="00657003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3DDE" w:rsidRPr="001B3A4B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Eligible claims up to $300 will be approved using the following criteria</w:t>
            </w:r>
            <w:r w:rsidRPr="001B3A4B">
              <w:t xml:space="preserve">: </w:t>
            </w:r>
          </w:p>
          <w:p w:rsidR="00723DDE" w:rsidRPr="001B3A4B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A4B">
              <w:t>a) Pro</w:t>
            </w:r>
            <w:r>
              <w:t>perty damage incurred after April</w:t>
            </w:r>
            <w:r w:rsidRPr="001B3A4B">
              <w:t xml:space="preserve"> 1, 201</w:t>
            </w:r>
            <w:r>
              <w:t>5</w:t>
            </w:r>
            <w:r w:rsidRPr="001B3A4B">
              <w:t xml:space="preserve">; </w:t>
            </w:r>
          </w:p>
          <w:p w:rsidR="00723DDE" w:rsidRPr="001B3A4B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A4B">
              <w:t xml:space="preserve">b) Property damage was caused as a result of a tenant’s occupancy, </w:t>
            </w:r>
            <w:r>
              <w:t>while under</w:t>
            </w:r>
            <w:r w:rsidRPr="001B3A4B">
              <w:t xml:space="preserve"> a rental agreement at the time the damage was incurred; </w:t>
            </w:r>
          </w:p>
          <w:p w:rsidR="00723DDE" w:rsidRPr="001B3A4B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A4B">
              <w:t>c) Damage to property ex</w:t>
            </w:r>
            <w:r>
              <w:t xml:space="preserve">ceeds normal wear and tear; </w:t>
            </w:r>
          </w:p>
          <w:p w:rsidR="00723DDE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A4B">
              <w:t>d) Expenses</w:t>
            </w:r>
            <w:r>
              <w:t xml:space="preserve"> for repairs are estimated at or under $300; and</w:t>
            </w:r>
          </w:p>
          <w:p w:rsidR="00723DDE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e) Approved claims will be paid within 30 days of approval.</w:t>
            </w:r>
          </w:p>
          <w:p w:rsidR="00723DDE" w:rsidRPr="00657003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3DDE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7589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967589">
              <w:rPr>
                <w:b/>
              </w:rPr>
              <w:t>Property damage claims exceeding $300, but not more than $1,000 will be reviewed on a case-by-case basis.</w:t>
            </w:r>
            <w:r>
              <w:t xml:space="preserve"> </w:t>
            </w:r>
          </w:p>
          <w:p w:rsidR="00723DDE" w:rsidRPr="00657003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3DDE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Eligible ‘damages’ may include:  Wall gouges and holes; doors and cabinet including their hardware; carpet stains or burns; cracked tiles; broken windows, minor household fixtures such as disposal, toilet, sink, sink handle; and lighting fixtures. </w:t>
            </w:r>
          </w:p>
          <w:p w:rsidR="00723DDE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23DDE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post repair inspection will be conducted prior to payment. </w:t>
            </w:r>
          </w:p>
          <w:p w:rsidR="00723DDE" w:rsidRPr="00657003" w:rsidRDefault="00723DDE" w:rsidP="007B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DDE" w:rsidRPr="001B3A4B" w:rsidTr="007B0795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723DDE" w:rsidRPr="00B60399" w:rsidRDefault="00723DDE" w:rsidP="007B0795">
            <w:r w:rsidRPr="00B60399">
              <w:t xml:space="preserve">Program </w:t>
            </w:r>
            <w:r>
              <w:t xml:space="preserve">Information and </w:t>
            </w:r>
            <w:r w:rsidRPr="00B60399">
              <w:t xml:space="preserve">Reimbursement </w:t>
            </w:r>
            <w:r>
              <w:t xml:space="preserve">Process: </w:t>
            </w:r>
            <w:r>
              <w:br/>
              <w:t xml:space="preserve">Vacancies </w:t>
            </w:r>
          </w:p>
        </w:tc>
        <w:tc>
          <w:tcPr>
            <w:tcW w:w="9893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23DDE" w:rsidRDefault="00723DDE" w:rsidP="007B0795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occasion a tenant’s subsidy may not cover 100% of the 1</w:t>
            </w:r>
            <w:r w:rsidRPr="00235412">
              <w:rPr>
                <w:vertAlign w:val="superscript"/>
              </w:rPr>
              <w:t>st</w:t>
            </w:r>
            <w:r>
              <w:t xml:space="preserve"> month’s rent if they sign lease documents after the months has started. In these instances the vacancy program can help. </w:t>
            </w:r>
          </w:p>
          <w:p w:rsidR="00723DDE" w:rsidRDefault="00723DDE" w:rsidP="007B0795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3DDE" w:rsidRDefault="00723DDE" w:rsidP="007B0795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3A4B">
              <w:t xml:space="preserve">To </w:t>
            </w:r>
            <w:r>
              <w:t>apply for a holding payment equal to half of one month’s rental payment, a</w:t>
            </w:r>
            <w:r w:rsidRPr="001B3A4B">
              <w:t xml:space="preserve"> landlord must </w:t>
            </w:r>
            <w:r>
              <w:t xml:space="preserve">have placed the previous tenant through the Landlord Recruitment Specialist and have rented the same unit to another tenant through the Landlord Recruitment Specialist. A landlord will submit documentation with past tenants move out date and a copy of the current lease agreement with lease start date. The </w:t>
            </w:r>
            <w:r>
              <w:lastRenderedPageBreak/>
              <w:t>payment of a holding fee up to half the monthly rental payment, or $600, whichever is lesser.  Payment will be prorated according to the number of days vacant with relation to the monthly rent amount.</w:t>
            </w:r>
          </w:p>
          <w:p w:rsidR="00723DDE" w:rsidRPr="001B3A4B" w:rsidRDefault="00723DDE" w:rsidP="007B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23DDE" w:rsidRPr="002B75F0" w:rsidTr="007B0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</w:tcBorders>
          </w:tcPr>
          <w:p w:rsidR="00723DDE" w:rsidRPr="00CD09FE" w:rsidRDefault="00723DDE" w:rsidP="007B0795">
            <w:r>
              <w:lastRenderedPageBreak/>
              <w:t>Be a Participating Landlord</w:t>
            </w:r>
          </w:p>
        </w:tc>
        <w:tc>
          <w:tcPr>
            <w:tcW w:w="9893" w:type="dxa"/>
            <w:tcBorders>
              <w:top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23DDE" w:rsidRDefault="00723DDE" w:rsidP="007B079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Contact Colorado Housing Connects today to become a participating landlord in the Landlord Recruitment Campaign 1-844-926-6632. Ask for the Landlord Recruitment Specialist. </w:t>
            </w:r>
          </w:p>
          <w:p w:rsidR="00723DDE" w:rsidRPr="002B75F0" w:rsidRDefault="00723DDE" w:rsidP="007B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723DDE" w:rsidRDefault="00723DDE" w:rsidP="00723DDE">
      <w:pPr>
        <w:pStyle w:val="ListParagraph"/>
      </w:pPr>
    </w:p>
    <w:sectPr w:rsidR="0072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3A42"/>
    <w:multiLevelType w:val="hybridMultilevel"/>
    <w:tmpl w:val="57F2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668"/>
    <w:multiLevelType w:val="hybridMultilevel"/>
    <w:tmpl w:val="227C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271D9"/>
    <w:multiLevelType w:val="hybridMultilevel"/>
    <w:tmpl w:val="5EF8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1"/>
    <w:rsid w:val="002F7A6E"/>
    <w:rsid w:val="004676D6"/>
    <w:rsid w:val="00661846"/>
    <w:rsid w:val="006765E5"/>
    <w:rsid w:val="00723DDE"/>
    <w:rsid w:val="00792FEE"/>
    <w:rsid w:val="009E2D9E"/>
    <w:rsid w:val="00A21118"/>
    <w:rsid w:val="00A73A7D"/>
    <w:rsid w:val="00CF4671"/>
    <w:rsid w:val="00F31F1F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A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1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1118"/>
    <w:rPr>
      <w:color w:val="800080" w:themeColor="followedHyperlink"/>
      <w:u w:val="single"/>
    </w:rPr>
  </w:style>
  <w:style w:type="table" w:customStyle="1" w:styleId="ListTable3Accent5">
    <w:name w:val="List Table 3 Accent 5"/>
    <w:basedOn w:val="TableNormal"/>
    <w:uiPriority w:val="48"/>
    <w:rsid w:val="00723DD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A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1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1118"/>
    <w:rPr>
      <w:color w:val="800080" w:themeColor="followedHyperlink"/>
      <w:u w:val="single"/>
    </w:rPr>
  </w:style>
  <w:style w:type="table" w:customStyle="1" w:styleId="ListTable3Accent5">
    <w:name w:val="List Table 3 Accent 5"/>
    <w:basedOn w:val="TableNormal"/>
    <w:uiPriority w:val="48"/>
    <w:rsid w:val="00723DD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homelessness.org/page/-/files/3.1%20Strategies%20for%20Building%20Landlord%20Partnerships%20-%20Khari%20Hunt.pdf" TargetMode="External"/><Relationship Id="rId13" Type="http://schemas.openxmlformats.org/officeDocument/2006/relationships/hyperlink" Target="http://austinecho.org/the-solution/onekeyatx-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dhomelessness.org/library/entry/example-landlord-damage-insurance-fund-mou-from-the-planning-council" TargetMode="External"/><Relationship Id="rId12" Type="http://schemas.openxmlformats.org/officeDocument/2006/relationships/hyperlink" Target="http://www.homelesshouston.org/wp-content/uploads/2013/12/Housing-Houstons-Heroes-Workgroup-Info-Sheet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homelessness.org/library/entry/landlord-outreach-strategies" TargetMode="External"/><Relationship Id="rId11" Type="http://schemas.openxmlformats.org/officeDocument/2006/relationships/hyperlink" Target="http://www.voacolorado.org/gethelp-denvermetro-veterans-landlor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ndlordliaisonproject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dhomelessness.org/.../1253_file_Barbara_Rosenberg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6082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Steiner</dc:creator>
  <cp:lastModifiedBy>Julie Steiner</cp:lastModifiedBy>
  <cp:revision>2</cp:revision>
  <dcterms:created xsi:type="dcterms:W3CDTF">2016-03-27T23:22:00Z</dcterms:created>
  <dcterms:modified xsi:type="dcterms:W3CDTF">2016-03-27T23:22:00Z</dcterms:modified>
</cp:coreProperties>
</file>